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3A274A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A274A">
        <w:rPr>
          <w:rStyle w:val="a3"/>
          <w:rFonts w:ascii="Times New Roman" w:hAnsi="Times New Roman"/>
          <w:b/>
          <w:caps/>
          <w:color w:val="002060"/>
          <w:sz w:val="28"/>
        </w:rPr>
        <w:t>ОСНОВЫ УСТОЙЧИВОГО РАЗВИТИЯ: ИНВЕСТИЦИИ, КЛАСТЕРЫ, ИННОВАЦИИ И ДОРОЖНЫЕ КАРТЫ</w:t>
      </w:r>
      <w:bookmarkStart w:id="0" w:name="_GoBack"/>
      <w:bookmarkEnd w:id="0"/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3A274A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июня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3A274A">
        <w:rPr>
          <w:rFonts w:ascii="Times New Roman" w:hAnsi="Times New Roman"/>
          <w:sz w:val="18"/>
          <w:szCs w:val="18"/>
        </w:rPr>
        <w:t>74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A274A">
        <w:rPr>
          <w:rFonts w:ascii="Times New Roman" w:hAnsi="Times New Roman"/>
          <w:b/>
          <w:sz w:val="20"/>
          <w:szCs w:val="20"/>
          <w:u w:val="single"/>
        </w:rPr>
        <w:t>08 июня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3A274A">
        <w:rPr>
          <w:rFonts w:ascii="Times New Roman" w:hAnsi="Times New Roman"/>
          <w:b/>
          <w:sz w:val="18"/>
          <w:szCs w:val="18"/>
        </w:rPr>
        <w:t>74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DE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A27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A274A">
              <w:rPr>
                <w:rFonts w:ascii="Times New Roman" w:hAnsi="Times New Roman"/>
                <w:b/>
                <w:sz w:val="18"/>
                <w:szCs w:val="18"/>
              </w:rPr>
              <w:t>08.06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3A27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="003A274A" w:rsidRPr="003A27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сновы устойчивого развития: инвестиции, кластеры, инновации и дорожные карты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A27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A27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2E" w:rsidRDefault="0047002E">
      <w:pPr>
        <w:spacing w:after="0" w:line="240" w:lineRule="auto"/>
      </w:pPr>
      <w:r>
        <w:separator/>
      </w:r>
    </w:p>
  </w:endnote>
  <w:endnote w:type="continuationSeparator" w:id="0">
    <w:p w:rsidR="0047002E" w:rsidRDefault="0047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7002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2E" w:rsidRDefault="0047002E">
      <w:pPr>
        <w:spacing w:after="0" w:line="240" w:lineRule="auto"/>
      </w:pPr>
      <w:r>
        <w:separator/>
      </w:r>
    </w:p>
  </w:footnote>
  <w:footnote w:type="continuationSeparator" w:id="0">
    <w:p w:rsidR="0047002E" w:rsidRDefault="0047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A274A"/>
    <w:rsid w:val="003B19A9"/>
    <w:rsid w:val="003B3358"/>
    <w:rsid w:val="003C7706"/>
    <w:rsid w:val="003D633D"/>
    <w:rsid w:val="003F05B2"/>
    <w:rsid w:val="00422B18"/>
    <w:rsid w:val="00433B98"/>
    <w:rsid w:val="0047002E"/>
    <w:rsid w:val="00484F1D"/>
    <w:rsid w:val="005A7F9F"/>
    <w:rsid w:val="005C5643"/>
    <w:rsid w:val="005E5C7F"/>
    <w:rsid w:val="00602A94"/>
    <w:rsid w:val="0062560B"/>
    <w:rsid w:val="0062583C"/>
    <w:rsid w:val="006369F9"/>
    <w:rsid w:val="00661926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DE5139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2019-11-28T18:00:00Z</dcterms:created>
  <dcterms:modified xsi:type="dcterms:W3CDTF">2019-11-28T18:00:00Z</dcterms:modified>
</cp:coreProperties>
</file>